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F7" w:rsidRDefault="00150375" w:rsidP="003923F7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B47189">
        <w:rPr>
          <w:rFonts w:ascii="Times New Roman" w:hAnsi="Times New Roman" w:cs="Times New Roman"/>
          <w:b/>
          <w:i/>
          <w:sz w:val="22"/>
          <w:szCs w:val="22"/>
        </w:rPr>
        <w:t>c</w:t>
      </w: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923F7">
        <w:rPr>
          <w:rFonts w:ascii="Times New Roman" w:hAnsi="Times New Roman" w:cs="Times New Roman"/>
          <w:b/>
          <w:i/>
          <w:sz w:val="22"/>
          <w:szCs w:val="22"/>
        </w:rPr>
        <w:t>wzór kart oceny wg lokalnych kryteriów” duże projekty”</w:t>
      </w:r>
    </w:p>
    <w:p w:rsidR="00150375" w:rsidRPr="00DE1E77" w:rsidRDefault="00150375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1E77">
        <w:rPr>
          <w:rFonts w:ascii="Times New Roman" w:hAnsi="Times New Roman" w:cs="Times New Roman"/>
          <w:i/>
          <w:sz w:val="22"/>
          <w:szCs w:val="22"/>
        </w:rPr>
        <w:t>do Procedury obsługi operacji w ramach działania „Wsparcie na wdrażanie operacji w ramach strategii rozwoju lokalnego kierowanego przez społeczność” objętego PROW 2014-2020 realizowanych przez podmioty inne niż LGD na tzw. „duże projekty”.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5812"/>
        <w:gridCol w:w="1276"/>
      </w:tblGrid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  <w:tr w:rsidR="00922470" w:rsidTr="00023FF3">
        <w:tblPrEx>
          <w:shd w:val="solid" w:color="FFFFFF" w:themeColor="background1" w:fill="auto"/>
        </w:tblPrEx>
        <w:trPr>
          <w:trHeight w:val="503"/>
        </w:trPr>
        <w:tc>
          <w:tcPr>
            <w:tcW w:w="10173" w:type="dxa"/>
            <w:gridSpan w:val="5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B47189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Uruchamianie działalności gospodarczej w ramach programu PREMIA na START</w:t>
            </w:r>
          </w:p>
        </w:tc>
      </w:tr>
      <w:tr w:rsidR="002B49C9" w:rsidTr="00023FF3">
        <w:tblPrEx>
          <w:shd w:val="solid" w:color="FFFFFF" w:themeColor="background1" w:fill="auto"/>
        </w:tblPrEx>
        <w:trPr>
          <w:trHeight w:val="557"/>
        </w:trPr>
        <w:tc>
          <w:tcPr>
            <w:tcW w:w="10173" w:type="dxa"/>
            <w:gridSpan w:val="5"/>
            <w:shd w:val="clear" w:color="92D050" w:fill="auto"/>
            <w:vAlign w:val="center"/>
          </w:tcPr>
          <w:p w:rsidR="002B49C9" w:rsidRPr="002B49C9" w:rsidRDefault="002B49C9" w:rsidP="00921B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 xml:space="preserve">Minimalna ilość </w:t>
            </w:r>
            <w:r w:rsidRPr="003923F7">
              <w:rPr>
                <w:rFonts w:ascii="Times New Roman" w:hAnsi="Times New Roman" w:cs="Times New Roman"/>
                <w:b/>
                <w:i/>
              </w:rPr>
              <w:t>punktów 1</w:t>
            </w:r>
            <w:r w:rsidR="00921BD3">
              <w:rPr>
                <w:rFonts w:ascii="Times New Roman" w:hAnsi="Times New Roman" w:cs="Times New Roman"/>
                <w:b/>
                <w:i/>
              </w:rPr>
              <w:t>7</w:t>
            </w:r>
            <w:r w:rsidRPr="003923F7">
              <w:rPr>
                <w:rFonts w:ascii="Times New Roman" w:hAnsi="Times New Roman" w:cs="Times New Roman"/>
                <w:b/>
                <w:i/>
              </w:rPr>
              <w:t xml:space="preserve"> pkt</w:t>
            </w:r>
          </w:p>
        </w:tc>
      </w:tr>
      <w:tr w:rsidR="00922470" w:rsidTr="00B47189">
        <w:tblPrEx>
          <w:shd w:val="solid" w:color="FFFFFF" w:themeColor="background1" w:fill="auto"/>
        </w:tblPrEx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CB1A41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 w:rsidRPr="00CB1A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92D050" w:fill="auto"/>
            <w:vAlign w:val="center"/>
          </w:tcPr>
          <w:p w:rsidR="00B31618" w:rsidRPr="00CB1A41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6379" w:type="dxa"/>
            <w:gridSpan w:val="2"/>
            <w:shd w:val="clear" w:color="92D050" w:fill="auto"/>
            <w:vAlign w:val="center"/>
          </w:tcPr>
          <w:p w:rsidR="00B31618" w:rsidRPr="00CB1A41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1276" w:type="dxa"/>
            <w:shd w:val="clear" w:color="92D050" w:fill="auto"/>
            <w:vAlign w:val="center"/>
          </w:tcPr>
          <w:p w:rsidR="00B31618" w:rsidRPr="00CB1A41" w:rsidRDefault="00B31618" w:rsidP="00DE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b/>
                <w:sz w:val="20"/>
                <w:szCs w:val="20"/>
              </w:rPr>
              <w:t>Przyznan</w:t>
            </w:r>
            <w:r w:rsidR="00DE1E77" w:rsidRPr="00CB1A41">
              <w:rPr>
                <w:rFonts w:ascii="Times New Roman" w:hAnsi="Times New Roman" w:cs="Times New Roman"/>
                <w:b/>
                <w:sz w:val="20"/>
                <w:szCs w:val="20"/>
              </w:rPr>
              <w:t>a ocena</w:t>
            </w: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 xml:space="preserve">Współpraca </w:t>
            </w: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br/>
              <w:t>z LGD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na etapie konsultacji społecznych opracowania LSR, został złożony „arkusz pomysłu” dotyczący wnioskowanej operacji - </w:t>
            </w:r>
            <w:r w:rsidR="00C429FB"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beneficjent zakłada informowanie (z wykorzystaniem </w:t>
            </w:r>
            <w:proofErr w:type="spellStart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loga</w:t>
            </w:r>
            <w:proofErr w:type="spellEnd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LGD) o LGD,</w:t>
            </w:r>
            <w:r w:rsidR="00961386"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jako pośredniku w uzyskaniu wsparcia na realizację operacji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wniosek został wcześniej skonsultowany  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 xml:space="preserve">z pracownikiem biura LGD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2"/>
              </w:numPr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beneficjent nie współpracował i nie chce współpracować 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br/>
              <w:t xml:space="preserve">z LGD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B47189" w:rsidRPr="00CB1A41" w:rsidRDefault="00B47189" w:rsidP="00A133B4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 xml:space="preserve">Wartości pomocy przy rozwijaniu działalności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>Punktacja pozwoli lepiej kontrolować realizację wskaźnika produktu.</w:t>
            </w:r>
          </w:p>
          <w:p w:rsidR="00B47189" w:rsidRPr="00CB1A41" w:rsidRDefault="00B47189" w:rsidP="00B47189">
            <w:pPr>
              <w:numPr>
                <w:ilvl w:val="0"/>
                <w:numId w:val="13"/>
              </w:numPr>
              <w:spacing w:after="40"/>
              <w:ind w:left="175" w:hanging="17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wnioskowana wartość pomocy = 50 tyś.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3"/>
              </w:numPr>
              <w:spacing w:after="40"/>
              <w:ind w:left="175" w:hanging="17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wnioskowana wartość pomocy = 100 tyś.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>Innowacyjny charakter operacji</w:t>
            </w:r>
          </w:p>
          <w:p w:rsidR="00B47189" w:rsidRPr="00CB1A41" w:rsidRDefault="00B47189" w:rsidP="00A133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operacja jest innowacyjna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A133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operacja nie jest innowacyjna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326DFC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Wsparcie osób </w:t>
            </w: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z grupy </w:t>
            </w:r>
            <w:proofErr w:type="spellStart"/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>defaworyzowanej</w:t>
            </w:r>
            <w:proofErr w:type="spellEnd"/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326DFC">
            <w:pPr>
              <w:numPr>
                <w:ilvl w:val="0"/>
                <w:numId w:val="15"/>
              </w:numPr>
              <w:ind w:left="175" w:hanging="14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jest osobą z grupy </w:t>
            </w:r>
            <w:proofErr w:type="spellStart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defaworyzowanej</w:t>
            </w:r>
            <w:proofErr w:type="spellEnd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326DFC">
            <w:pPr>
              <w:numPr>
                <w:ilvl w:val="0"/>
                <w:numId w:val="15"/>
              </w:numPr>
              <w:ind w:left="175" w:hanging="141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 wnioskodawca nie jest z grupy </w:t>
            </w:r>
            <w:proofErr w:type="spellStart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defaworyzowanej</w:t>
            </w:r>
            <w:proofErr w:type="spellEnd"/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>Rodzaj wnioskodawcy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jest osobą bezrobotną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jest rolnikiem, który zamierza produkować art. spożywcze lub napoje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wnioskodawca nie jest z w/w grupy 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983303" w:rsidRPr="00CB1A41" w:rsidRDefault="00983303" w:rsidP="00961386">
            <w:pPr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1A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Zakres operacji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jeżeli wniosek dotyczy: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produkcji artykułów spożywczych lub produkcji napojów 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zwiększenia bazy noclegowej na terenie obszaru LGD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świadczenia usług gastronomicznych, specjalizujących się w wykorzystaniu lokalnych produktów 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świadczenia usług gastronomicznych, specjalizujących się w kuchni regionalnej (wielkopolskiej)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świadczenia usług  rekreacyjnych na obszarze LGD -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wykorzystania walorów lokalnych w promocji planowanej działalności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7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operacja nie zakłada żadnego w/w działania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2B0B3E" w:rsidRPr="00CB1A41" w:rsidRDefault="002B0B3E" w:rsidP="002B0B3E">
            <w:pPr>
              <w:ind w:left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W razie potrzeby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 xml:space="preserve">Przygotowanie </w:t>
            </w: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do prowadzenia działalności gospodarczej </w:t>
            </w: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posiada niezbędne wykształcenie pozwalające prowadzić działalność, której dotyczy wniosek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 wnioskodawca posiada niezbędne doświadczenie pozwalające prowadzić działalność, której dotyczy wniosek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8"/>
              </w:numPr>
              <w:ind w:left="175" w:hanging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wnioskodawca nie posiada niezbędnego wykształcenie lub doświadczenia pozwalającego prowadzić działalność, której dotyczy wniosek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2B0B3E" w:rsidRPr="00CB1A41" w:rsidRDefault="002B0B3E" w:rsidP="002B0B3E">
            <w:pPr>
              <w:ind w:left="17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W razie potrzeby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189" w:rsidTr="00B47189">
        <w:tblPrEx>
          <w:shd w:val="solid" w:color="FFFFFF" w:themeColor="background1" w:fill="auto"/>
        </w:tblPrEx>
        <w:tc>
          <w:tcPr>
            <w:tcW w:w="675" w:type="dxa"/>
            <w:shd w:val="solid" w:color="FFFFFF" w:themeColor="background1" w:fill="auto"/>
            <w:vAlign w:val="center"/>
          </w:tcPr>
          <w:p w:rsidR="00B47189" w:rsidRPr="00CB1A41" w:rsidRDefault="00B47189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>Działania proekologiczne</w:t>
            </w:r>
          </w:p>
          <w:p w:rsidR="00B47189" w:rsidRPr="00CB1A41" w:rsidRDefault="00B47189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solid" w:color="FFFFFF" w:themeColor="background1" w:fill="auto"/>
            <w:vAlign w:val="center"/>
          </w:tcPr>
          <w:p w:rsidR="00B47189" w:rsidRPr="00CB1A41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operacja zakłada ograniczenie negatywnego oddziaływania na środowisko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3 pkt</w:t>
            </w:r>
            <w:r w:rsidR="00C429FB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operacja zakłada wykorzystanie odnawialnych źródeł energii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pkt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B47189" w:rsidRPr="00CB1A41" w:rsidRDefault="00B47189" w:rsidP="00B47189">
            <w:pPr>
              <w:numPr>
                <w:ilvl w:val="0"/>
                <w:numId w:val="19"/>
              </w:numPr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jeżeli operacja nie zakłada w/w działań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 pkt</w:t>
            </w: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C429FB" w:rsidRPr="00CB1A41" w:rsidRDefault="00C429FB" w:rsidP="00C429FB">
            <w:pPr>
              <w:ind w:left="3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W razie potrzeby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B47189" w:rsidRPr="00CB1A41" w:rsidRDefault="00B47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9FB" w:rsidTr="00CB1A41">
        <w:tblPrEx>
          <w:shd w:val="solid" w:color="FFFFFF" w:themeColor="background1" w:fill="auto"/>
        </w:tblPrEx>
        <w:tc>
          <w:tcPr>
            <w:tcW w:w="675" w:type="dxa"/>
            <w:shd w:val="clear" w:color="auto" w:fill="FFFFFF" w:themeFill="background1"/>
            <w:vAlign w:val="center"/>
          </w:tcPr>
          <w:p w:rsidR="00C429FB" w:rsidRPr="00CB1A41" w:rsidRDefault="00C429FB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29FB" w:rsidRPr="00CB1A41" w:rsidRDefault="00C429FB" w:rsidP="00A133B4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>Miejsce realizacji przedsięwzięcia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429FB" w:rsidRPr="00CB1A41" w:rsidRDefault="00C429FB" w:rsidP="00C429FB">
            <w:pPr>
              <w:ind w:left="175" w:hanging="141"/>
              <w:rPr>
                <w:rFonts w:ascii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 jeżeli operacja realizowana </w:t>
            </w:r>
            <w:r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będzie w miejscowości   zamieszkałej przez </w:t>
            </w:r>
            <w:r w:rsidR="0099128A" w:rsidRPr="00CB1A4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 tys. lub więcej mieszkańców – </w:t>
            </w:r>
            <w:r w:rsidRPr="00CB1A41">
              <w:rPr>
                <w:rFonts w:ascii="Times New Roman" w:hAnsi="Times New Roman"/>
                <w:b/>
                <w:i/>
                <w:sz w:val="20"/>
                <w:szCs w:val="20"/>
              </w:rPr>
              <w:t>0 pkt.</w:t>
            </w:r>
          </w:p>
          <w:p w:rsidR="00C429FB" w:rsidRPr="00CB1A41" w:rsidRDefault="00826B57" w:rsidP="00CB73AA">
            <w:pPr>
              <w:ind w:left="176" w:hanging="14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hAnsi="Times New Roman"/>
                <w:i/>
                <w:sz w:val="20"/>
                <w:szCs w:val="20"/>
              </w:rPr>
              <w:t>- j</w:t>
            </w:r>
            <w:r w:rsidR="00C429FB" w:rsidRPr="00CB1A41">
              <w:rPr>
                <w:rFonts w:ascii="Times New Roman" w:hAnsi="Times New Roman"/>
                <w:i/>
                <w:sz w:val="20"/>
                <w:szCs w:val="20"/>
              </w:rPr>
              <w:t>eżeli operacja będzie realizowan</w:t>
            </w:r>
            <w:r w:rsidR="00CB73AA" w:rsidRPr="00CB1A41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C429FB"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 w miejscowości zamieszkałej </w:t>
            </w:r>
            <w:r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C429FB"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przez mniej niż </w:t>
            </w:r>
            <w:r w:rsidR="0099128A" w:rsidRPr="00CB1A4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C429FB" w:rsidRPr="00CB1A41">
              <w:rPr>
                <w:rFonts w:ascii="Times New Roman" w:hAnsi="Times New Roman"/>
                <w:i/>
                <w:sz w:val="20"/>
                <w:szCs w:val="20"/>
              </w:rPr>
              <w:t xml:space="preserve"> tys. mieszkańców – </w:t>
            </w:r>
            <w:r w:rsidR="0099128A" w:rsidRPr="00CB1A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C429FB" w:rsidRPr="00CB1A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C429FB" w:rsidRPr="00CB1A41" w:rsidRDefault="00C42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BD3" w:rsidTr="00CB1A41">
        <w:tblPrEx>
          <w:shd w:val="solid" w:color="FFFFFF" w:themeColor="background1" w:fill="auto"/>
        </w:tblPrEx>
        <w:tc>
          <w:tcPr>
            <w:tcW w:w="675" w:type="dxa"/>
            <w:shd w:val="clear" w:color="auto" w:fill="FFFFFF" w:themeFill="background1"/>
            <w:vAlign w:val="center"/>
          </w:tcPr>
          <w:p w:rsidR="00921BD3" w:rsidRPr="00CB1A41" w:rsidRDefault="00921BD3" w:rsidP="00B3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A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21BD3" w:rsidRPr="00CB1A41" w:rsidRDefault="00921BD3" w:rsidP="00921BD3">
            <w:pPr>
              <w:spacing w:after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sz w:val="20"/>
                <w:szCs w:val="20"/>
              </w:rPr>
              <w:t>Wnioskodawcy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921BD3" w:rsidRPr="00CB1A41" w:rsidRDefault="00921BD3" w:rsidP="00921BD3">
            <w:pPr>
              <w:ind w:left="175" w:hanging="14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 jeżeli wnioskodawcą jest mieszkaniec zameldowany na stałe na terenie obszaru objętego lokalną strategią rozwoju realizowaną przez LGD „Z Nami Warto” (fakt potwierdzony kopią dowodu lub zaświadczeniem z UG) – </w:t>
            </w:r>
            <w:r w:rsidR="0099128A"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pkt.</w:t>
            </w:r>
          </w:p>
          <w:p w:rsidR="00921BD3" w:rsidRPr="00CB1A41" w:rsidRDefault="00921BD3" w:rsidP="00F36FA8">
            <w:pPr>
              <w:ind w:left="175" w:hanging="14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- jeżeli wnioskodawca nie jest mieszkańcem zameldowanym na stałe na obszarze LGD „Z Nami Warto” – </w:t>
            </w:r>
            <w:r w:rsidRPr="00CB1A4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0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921BD3" w:rsidRPr="00CB1A41" w:rsidRDefault="0092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E77" w:rsidTr="00023FF3">
        <w:tblPrEx>
          <w:shd w:val="solid" w:color="FFFFFF" w:themeColor="background1" w:fill="auto"/>
        </w:tblPrEx>
        <w:trPr>
          <w:trHeight w:val="345"/>
        </w:trPr>
        <w:tc>
          <w:tcPr>
            <w:tcW w:w="8897" w:type="dxa"/>
            <w:gridSpan w:val="4"/>
            <w:shd w:val="solid" w:color="FFFFFF" w:themeColor="background1" w:fill="auto"/>
            <w:vAlign w:val="center"/>
          </w:tcPr>
          <w:p w:rsidR="00DE1E77" w:rsidRPr="00CB1A41" w:rsidRDefault="00DE1E77" w:rsidP="00DE1E77">
            <w:pPr>
              <w:ind w:left="17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A41">
              <w:rPr>
                <w:rFonts w:ascii="Times New Roman" w:eastAsia="Times New Roman" w:hAnsi="Times New Roman"/>
                <w:b/>
                <w:sz w:val="20"/>
                <w:szCs w:val="20"/>
              </w:rPr>
              <w:t>S U M A    P U N K T Ó W</w:t>
            </w:r>
          </w:p>
        </w:tc>
        <w:tc>
          <w:tcPr>
            <w:tcW w:w="1276" w:type="dxa"/>
            <w:shd w:val="solid" w:color="FFFFFF" w:themeColor="background1" w:fill="auto"/>
          </w:tcPr>
          <w:p w:rsidR="00DE1E77" w:rsidRPr="00CB1A41" w:rsidRDefault="00DE1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1386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023FF3">
        <w:trPr>
          <w:trHeight w:val="43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023FF3">
        <w:trPr>
          <w:trHeight w:val="359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3E08AC" w:rsidRDefault="003E08AC" w:rsidP="003E08AC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Definicja innowacyjności:</w:t>
      </w:r>
    </w:p>
    <w:p w:rsidR="003E08AC" w:rsidRDefault="003E08AC" w:rsidP="003E08AC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Inno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 xml:space="preserve">wacyjność – zgodnie z podstawami poradnika „Podejście LEADER” innowacyjność należy rozumieć </w:t>
      </w:r>
      <w:r>
        <w:rPr>
          <w:rFonts w:ascii="Times New Roman" w:hAnsi="Times New Roman"/>
          <w:i/>
          <w:iCs/>
          <w:sz w:val="20"/>
          <w:szCs w:val="20"/>
        </w:rPr>
        <w:br/>
        <w:t>w szerokim znaczeniu tego słowa. Może ona oznaczać wprowadzenie nowego produktu, nowego procesu, nowej organizacji lub nowego rynku na obszarze LGD „Z Nami Warto”</w:t>
      </w:r>
    </w:p>
    <w:p w:rsidR="003E08AC" w:rsidRDefault="003E08AC"/>
    <w:sectPr w:rsidR="003E08AC" w:rsidSect="00023FF3">
      <w:headerReference w:type="default" r:id="rId9"/>
      <w:pgSz w:w="11906" w:h="16838"/>
      <w:pgMar w:top="142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91" w:rsidRDefault="00E74291" w:rsidP="00150375">
      <w:pPr>
        <w:spacing w:after="0" w:line="240" w:lineRule="auto"/>
      </w:pPr>
      <w:r>
        <w:separator/>
      </w:r>
    </w:p>
  </w:endnote>
  <w:endnote w:type="continuationSeparator" w:id="0">
    <w:p w:rsidR="00E74291" w:rsidRDefault="00E74291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91" w:rsidRDefault="00E74291" w:rsidP="00150375">
      <w:pPr>
        <w:spacing w:after="0" w:line="240" w:lineRule="auto"/>
      </w:pPr>
      <w:r>
        <w:separator/>
      </w:r>
    </w:p>
  </w:footnote>
  <w:footnote w:type="continuationSeparator" w:id="0">
    <w:p w:rsidR="00E74291" w:rsidRDefault="00E74291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BF206B0" wp14:editId="3EF774AA">
          <wp:extent cx="5762625" cy="800100"/>
          <wp:effectExtent l="19050" t="0" r="9525" b="0"/>
          <wp:docPr id="10" name="Obraz 10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2F"/>
    <w:multiLevelType w:val="hybridMultilevel"/>
    <w:tmpl w:val="A064C2F0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8A71F0E"/>
    <w:multiLevelType w:val="hybridMultilevel"/>
    <w:tmpl w:val="39D4CE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784"/>
    <w:multiLevelType w:val="hybridMultilevel"/>
    <w:tmpl w:val="4DDA1C26"/>
    <w:lvl w:ilvl="0" w:tplc="3DE04BE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3EF7657"/>
    <w:multiLevelType w:val="hybridMultilevel"/>
    <w:tmpl w:val="5CCC9A7E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F6650FB"/>
    <w:multiLevelType w:val="hybridMultilevel"/>
    <w:tmpl w:val="CFBE39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4339D"/>
    <w:multiLevelType w:val="hybridMultilevel"/>
    <w:tmpl w:val="879E30E4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35A5E"/>
    <w:multiLevelType w:val="hybridMultilevel"/>
    <w:tmpl w:val="FE94388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C084B"/>
    <w:multiLevelType w:val="hybridMultilevel"/>
    <w:tmpl w:val="C01A57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D4131"/>
    <w:multiLevelType w:val="hybridMultilevel"/>
    <w:tmpl w:val="87287FE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B4AEB"/>
    <w:multiLevelType w:val="hybridMultilevel"/>
    <w:tmpl w:val="C338CC7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203DF"/>
    <w:multiLevelType w:val="hybridMultilevel"/>
    <w:tmpl w:val="149E2E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770E8"/>
    <w:multiLevelType w:val="hybridMultilevel"/>
    <w:tmpl w:val="AA46BC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CBA792A"/>
    <w:multiLevelType w:val="hybridMultilevel"/>
    <w:tmpl w:val="254084E2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C0059"/>
    <w:multiLevelType w:val="hybridMultilevel"/>
    <w:tmpl w:val="16FC440A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18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23FF3"/>
    <w:rsid w:val="000A5104"/>
    <w:rsid w:val="000D754F"/>
    <w:rsid w:val="00150375"/>
    <w:rsid w:val="0015578A"/>
    <w:rsid w:val="00157AC6"/>
    <w:rsid w:val="001F2AF4"/>
    <w:rsid w:val="00281921"/>
    <w:rsid w:val="002B0B3E"/>
    <w:rsid w:val="002B49C9"/>
    <w:rsid w:val="00326DFC"/>
    <w:rsid w:val="00357DD9"/>
    <w:rsid w:val="00366D67"/>
    <w:rsid w:val="003923F7"/>
    <w:rsid w:val="00397DE9"/>
    <w:rsid w:val="003E08AC"/>
    <w:rsid w:val="00431D39"/>
    <w:rsid w:val="0045250F"/>
    <w:rsid w:val="005548B1"/>
    <w:rsid w:val="00577C13"/>
    <w:rsid w:val="005F720B"/>
    <w:rsid w:val="00653705"/>
    <w:rsid w:val="00686FCA"/>
    <w:rsid w:val="006B0B58"/>
    <w:rsid w:val="0073492D"/>
    <w:rsid w:val="007F2421"/>
    <w:rsid w:val="00826B57"/>
    <w:rsid w:val="008E746F"/>
    <w:rsid w:val="008F766B"/>
    <w:rsid w:val="00921BD3"/>
    <w:rsid w:val="00922470"/>
    <w:rsid w:val="00961386"/>
    <w:rsid w:val="0096412A"/>
    <w:rsid w:val="00983303"/>
    <w:rsid w:val="0099128A"/>
    <w:rsid w:val="009A0E0D"/>
    <w:rsid w:val="009C4A0C"/>
    <w:rsid w:val="00AD42B6"/>
    <w:rsid w:val="00AF5C19"/>
    <w:rsid w:val="00B31618"/>
    <w:rsid w:val="00B47189"/>
    <w:rsid w:val="00C429FB"/>
    <w:rsid w:val="00C5023D"/>
    <w:rsid w:val="00CB1A41"/>
    <w:rsid w:val="00CB73AA"/>
    <w:rsid w:val="00CF26E5"/>
    <w:rsid w:val="00D030DD"/>
    <w:rsid w:val="00D21BC1"/>
    <w:rsid w:val="00D25DB6"/>
    <w:rsid w:val="00D76A15"/>
    <w:rsid w:val="00DC2C12"/>
    <w:rsid w:val="00DE1E77"/>
    <w:rsid w:val="00E74291"/>
    <w:rsid w:val="00E91448"/>
    <w:rsid w:val="00EF00E8"/>
    <w:rsid w:val="00F36FA8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A298-36F0-4DC5-8C53-B9BB7AF8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user</cp:lastModifiedBy>
  <cp:revision>5</cp:revision>
  <cp:lastPrinted>2015-12-29T10:46:00Z</cp:lastPrinted>
  <dcterms:created xsi:type="dcterms:W3CDTF">2016-07-14T10:02:00Z</dcterms:created>
  <dcterms:modified xsi:type="dcterms:W3CDTF">2017-03-01T09:44:00Z</dcterms:modified>
</cp:coreProperties>
</file>